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0A6DE06C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7BB5CEA1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654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60B10B5" w14:textId="77777777" w:rsidR="002E4DA2" w:rsidRDefault="002E4DA2" w:rsidP="002E4DA2">
      <w:pPr>
        <w:spacing w:after="0" w:line="240" w:lineRule="auto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14:paraId="118CC6AD" w14:textId="77777777" w:rsidR="002E4DA2" w:rsidRPr="00D23C4F" w:rsidRDefault="002E4DA2" w:rsidP="002E4DA2">
      <w:pPr>
        <w:spacing w:after="0" w:line="240" w:lineRule="auto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14:paraId="60AE82EF" w14:textId="77777777" w:rsidR="002E4DA2" w:rsidRDefault="002E4DA2" w:rsidP="002E4DA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Об утверждении Требований </w:t>
      </w:r>
      <w:r w:rsidRPr="0077521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77521B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муниципальном образовании «Сенгилеевский район» Ульяновской области </w:t>
      </w:r>
    </w:p>
    <w:p w14:paraId="21E1EB7C" w14:textId="77777777" w:rsidR="002E4DA2" w:rsidRPr="0077521B" w:rsidRDefault="002E4DA2" w:rsidP="002E4DA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в </w:t>
      </w:r>
      <w:r w:rsidRPr="0077521B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соответствии </w:t>
      </w:r>
      <w:r w:rsidRPr="0077521B">
        <w:rPr>
          <w:rFonts w:ascii="PT Astra Serif" w:eastAsia="Calibri" w:hAnsi="PT Astra Serif" w:cs="Times New Roman"/>
          <w:b/>
          <w:bCs/>
          <w:sz w:val="28"/>
          <w:szCs w:val="28"/>
        </w:rPr>
        <w:t>с социальным сертификатом</w:t>
      </w:r>
    </w:p>
    <w:p w14:paraId="7313B3A9" w14:textId="77777777" w:rsidR="002E4DA2" w:rsidRPr="0077521B" w:rsidRDefault="002E4DA2" w:rsidP="002E4DA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14:paraId="55E03C66" w14:textId="2EE16DB8" w:rsidR="002E4DA2" w:rsidRPr="0077521B" w:rsidRDefault="002E4DA2" w:rsidP="002E4DA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соответствии с пунктом 4 статьи 5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муниципального образования «Сенгилеевский район» Ульяновской области от 15 февраля 2023 года                № 80-п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«Сенгилеевский район» Ульяновской области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 Постановлением Администрации муниципального образования «Сенгилеевский район» Ульяновской области от 05 сентября  2023 года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№588-п </w:t>
      </w:r>
      <w:r w:rsidRPr="0077521B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«О некоторых мерах правового регулирования вопросов, связанных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 </w:t>
      </w:r>
      <w:r w:rsidRPr="0077521B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с оказанием муниципальной услуги «Реализация дополнительных общеразвивающих программ» в соответствии с социальными сертификатами,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Администрация муниципального образования «Сенгилеевский район» Ульяновской области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п о с т а н о в л я е т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</w:p>
    <w:p w14:paraId="167A0560" w14:textId="77777777" w:rsidR="002E4DA2" w:rsidRPr="0077521B" w:rsidRDefault="002E4DA2" w:rsidP="002E4DA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Утвердить прилагаемые Требования 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77521B">
        <w:rPr>
          <w:rFonts w:ascii="PT Astra Serif" w:eastAsia="Calibri" w:hAnsi="PT Astra Serif" w:cs="Times New Roman"/>
          <w:iCs/>
          <w:sz w:val="28"/>
          <w:szCs w:val="28"/>
        </w:rPr>
        <w:t>муниципальном образовании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«Сенгилеевский район» Ульяновской области 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в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соответствии </w:t>
      </w:r>
      <w:r w:rsidRPr="0077521B">
        <w:rPr>
          <w:rFonts w:ascii="PT Astra Serif" w:eastAsia="Calibri" w:hAnsi="PT Astra Serif" w:cs="Times New Roman"/>
          <w:sz w:val="28"/>
          <w:szCs w:val="28"/>
        </w:rPr>
        <w:t>с социальным сертификатом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(далее – Требования).</w:t>
      </w:r>
    </w:p>
    <w:p w14:paraId="622CF210" w14:textId="77777777" w:rsidR="002E4DA2" w:rsidRPr="0077521B" w:rsidRDefault="002E4DA2" w:rsidP="002E4DA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Обеспечить оказание муниципальной услуги 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в социальной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     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сфере «Реализация дополнительных общеразвивающих </w:t>
      </w:r>
      <w:proofErr w:type="gramStart"/>
      <w:r w:rsidRPr="0077521B">
        <w:rPr>
          <w:rFonts w:ascii="PT Astra Serif" w:eastAsia="Calibri" w:hAnsi="PT Astra Serif" w:cs="Times New Roman"/>
          <w:sz w:val="28"/>
          <w:szCs w:val="28"/>
        </w:rPr>
        <w:t xml:space="preserve">программ» </w:t>
      </w:r>
      <w:r>
        <w:rPr>
          <w:rFonts w:ascii="PT Astra Serif" w:eastAsia="Calibri" w:hAnsi="PT Astra Serif" w:cs="Times New Roman"/>
          <w:sz w:val="28"/>
          <w:szCs w:val="28"/>
        </w:rPr>
        <w:t xml:space="preserve">  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                         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в муниципальном образовании «Сенгилеевский район» Ульяновской области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в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соответствии </w:t>
      </w:r>
      <w:r w:rsidRPr="0077521B">
        <w:rPr>
          <w:rFonts w:ascii="PT Astra Serif" w:eastAsia="Calibri" w:hAnsi="PT Astra Serif" w:cs="Times New Roman"/>
          <w:sz w:val="28"/>
          <w:szCs w:val="28"/>
        </w:rPr>
        <w:t>с социальным сертификатом (далее – муниципальная услуга) на условиях и в порядке, установленном Требованиями.</w:t>
      </w:r>
    </w:p>
    <w:p w14:paraId="714F46DF" w14:textId="77777777" w:rsidR="002E4DA2" w:rsidRPr="0077521B" w:rsidRDefault="002E4DA2" w:rsidP="002E4DA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sz w:val="28"/>
          <w:szCs w:val="28"/>
        </w:rPr>
        <w:t xml:space="preserve"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Pr="0077521B">
        <w:rPr>
          <w:rFonts w:ascii="PT Astra Serif" w:eastAsia="Calibri" w:hAnsi="PT Astra Serif" w:cs="Times New Roman"/>
          <w:sz w:val="28"/>
          <w:szCs w:val="28"/>
        </w:rPr>
        <w:t xml:space="preserve">, утвержденным 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Постановлением Администрации муниципального образования «Сенгилеевский район» Ульяновской области от 05 сентября 2023 года №588-п </w:t>
      </w:r>
      <w:r w:rsidRPr="0077521B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</w:t>
      </w:r>
      <w:r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      </w:t>
      </w:r>
      <w:r w:rsidRPr="0077521B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с социальными сертификатами»</w:t>
      </w: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14:paraId="095ECAE8" w14:textId="77777777" w:rsidR="002E4DA2" w:rsidRPr="0077521B" w:rsidRDefault="002E4DA2" w:rsidP="002E4DA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77521B">
        <w:rPr>
          <w:rFonts w:ascii="PT Astra Serif" w:eastAsia="Calibri" w:hAnsi="PT Astra Serif" w:cs="Times New Roman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«Сенгилеевский район» Нуждину Н.В.</w:t>
      </w:r>
    </w:p>
    <w:p w14:paraId="149ADD5B" w14:textId="77777777" w:rsidR="002E4DA2" w:rsidRPr="0077521B" w:rsidRDefault="002E4DA2" w:rsidP="002E4D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521B">
        <w:rPr>
          <w:rFonts w:ascii="PT Astra Serif" w:hAnsi="PT Astra Serif" w:cs="Arial"/>
          <w:sz w:val="28"/>
          <w:szCs w:val="28"/>
        </w:rPr>
        <w:t>5.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7521B">
        <w:rPr>
          <w:rFonts w:ascii="PT Astra Serif" w:hAnsi="PT Astra Serif" w:cs="Arial"/>
          <w:sz w:val="28"/>
          <w:szCs w:val="28"/>
        </w:rPr>
        <w:t xml:space="preserve">Настоящее постановление вступает в силу </w:t>
      </w:r>
      <w:r w:rsidRPr="0077521B">
        <w:rPr>
          <w:rFonts w:ascii="PT Astra Serif" w:hAnsi="PT Astra Serif" w:cs="Times New Roman"/>
          <w:sz w:val="28"/>
          <w:szCs w:val="28"/>
        </w:rPr>
        <w:t>на следующий день после дня его обнародования.</w:t>
      </w:r>
    </w:p>
    <w:p w14:paraId="142AB2F2" w14:textId="77777777" w:rsidR="002E4DA2" w:rsidRDefault="002E4DA2" w:rsidP="002E4DA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451F9AF2" w14:textId="77777777" w:rsidR="002E4DA2" w:rsidRDefault="002E4DA2" w:rsidP="002E4DA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6888161F" w14:textId="77777777" w:rsidR="002E4DA2" w:rsidRPr="00F56967" w:rsidRDefault="002E4DA2" w:rsidP="002E4DA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47C585CB" w14:textId="77777777" w:rsidR="002E4DA2" w:rsidRPr="00F56967" w:rsidRDefault="002E4DA2" w:rsidP="002E4DA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F56967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7FAA911D" w14:textId="77777777" w:rsidR="002E4DA2" w:rsidRPr="00F56967" w:rsidRDefault="002E4DA2" w:rsidP="002E4DA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F56967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4D8DF39B" w14:textId="77777777" w:rsidR="002E4DA2" w:rsidRPr="00F56967" w:rsidRDefault="002E4DA2" w:rsidP="002E4DA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F56967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F56967">
        <w:rPr>
          <w:rFonts w:ascii="PT Astra Serif" w:eastAsia="Calibri" w:hAnsi="PT Astra Serif" w:cs="Times New Roman"/>
          <w:sz w:val="28"/>
          <w:szCs w:val="28"/>
        </w:rPr>
        <w:tab/>
      </w:r>
      <w:r w:rsidRPr="00F56967">
        <w:rPr>
          <w:rFonts w:ascii="PT Astra Serif" w:eastAsia="Calibri" w:hAnsi="PT Astra Serif" w:cs="Times New Roman"/>
          <w:sz w:val="28"/>
          <w:szCs w:val="28"/>
        </w:rPr>
        <w:tab/>
      </w:r>
      <w:r w:rsidRPr="00F56967">
        <w:rPr>
          <w:rFonts w:ascii="PT Astra Serif" w:eastAsia="Calibri" w:hAnsi="PT Astra Serif" w:cs="Times New Roman"/>
          <w:sz w:val="28"/>
          <w:szCs w:val="28"/>
        </w:rPr>
        <w:tab/>
      </w:r>
      <w:r w:rsidRPr="00F56967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59C754B4" w14:textId="77777777" w:rsidR="002E4DA2" w:rsidRPr="00F56967" w:rsidRDefault="002E4DA2" w:rsidP="002E4DA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7777777" w:rsidR="002E4DA2" w:rsidRPr="00A02706" w:rsidRDefault="002E4DA2" w:rsidP="002E4DA2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A41A36D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2C6969A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0F0311D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E86CC2A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C0E8A2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6D0EAF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F1C8EB1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566A8A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2122AD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5FE3A45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28F8EF3" w14:textId="2D3C1BAB" w:rsidR="002E4DA2" w:rsidRP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2E4DA2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>ПРИЛОЖЕНИЕ № 1</w:t>
      </w:r>
    </w:p>
    <w:p w14:paraId="586BB639" w14:textId="77777777" w:rsidR="002E4DA2" w:rsidRP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</w:pPr>
      <w:r w:rsidRPr="002E4DA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к постановлению Администрации </w:t>
      </w:r>
      <w:r w:rsidRPr="002E4DA2"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  <w:t>муниципального образования «Сенгилеевский район»</w:t>
      </w:r>
    </w:p>
    <w:p w14:paraId="373AA085" w14:textId="77777777" w:rsidR="002E4DA2" w:rsidRP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E4DA2">
        <w:rPr>
          <w:rFonts w:ascii="PT Astra Serif" w:eastAsiaTheme="minorHAnsi" w:hAnsi="PT Astra Serif" w:cstheme="minorBidi"/>
          <w:color w:val="000000"/>
          <w:sz w:val="28"/>
          <w:szCs w:val="28"/>
          <w:lang w:eastAsia="en-US"/>
        </w:rPr>
        <w:t>Ульяновской области</w:t>
      </w:r>
    </w:p>
    <w:p w14:paraId="5F2CE9CD" w14:textId="77777777" w:rsidR="002E4DA2" w:rsidRP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E4DA2">
        <w:rPr>
          <w:rFonts w:ascii="PT Astra Serif" w:eastAsiaTheme="minorHAnsi" w:hAnsi="PT Astra Serif" w:cstheme="minorBidi"/>
          <w:sz w:val="28"/>
          <w:szCs w:val="28"/>
          <w:lang w:eastAsia="en-US"/>
        </w:rPr>
        <w:t>от 2 октября 2023 года № 654-п</w:t>
      </w:r>
    </w:p>
    <w:p w14:paraId="5912555B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eastAsiaTheme="minorHAnsi" w:hAnsi="PT Astra Serif" w:cs="Times New Roman"/>
          <w:b/>
          <w:bCs/>
          <w:caps/>
          <w:sz w:val="28"/>
          <w:szCs w:val="28"/>
          <w:lang w:eastAsia="en-US"/>
        </w:rPr>
      </w:pPr>
    </w:p>
    <w:p w14:paraId="2F6175E0" w14:textId="77777777" w:rsidR="002E4DA2" w:rsidRPr="002E4DA2" w:rsidRDefault="002E4DA2" w:rsidP="002E4DA2">
      <w:pPr>
        <w:keepNext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14:paraId="48F3E8D8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E4DA2">
        <w:rPr>
          <w:rFonts w:ascii="PT Astra Serif" w:eastAsia="Calibri" w:hAnsi="PT Astra Serif" w:cs="Times New Roman"/>
          <w:b/>
          <w:sz w:val="28"/>
          <w:szCs w:val="28"/>
        </w:rPr>
        <w:t xml:space="preserve">ТРЕБОВАНИЯ </w:t>
      </w:r>
    </w:p>
    <w:p w14:paraId="50387179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bookmarkStart w:id="0" w:name="_Hlk130201089"/>
      <w:r w:rsidRPr="002E4DA2">
        <w:rPr>
          <w:rFonts w:ascii="PT Astra Serif" w:eastAsia="Calibri" w:hAnsi="PT Astra Serif" w:cs="Times New Roman"/>
          <w:b/>
          <w:sz w:val="28"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</w:t>
      </w:r>
      <w:r w:rsidRPr="002E4DA2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в </w:t>
      </w:r>
      <w:r w:rsidRPr="002E4DA2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муниципальном образовании «Сенгилеевский район» Ульяновской области </w:t>
      </w:r>
      <w:r w:rsidRPr="002E4DA2">
        <w:rPr>
          <w:rFonts w:ascii="PT Astra Serif" w:eastAsia="Calibri" w:hAnsi="PT Astra Serif" w:cs="Times New Roman"/>
          <w:b/>
          <w:sz w:val="28"/>
          <w:szCs w:val="28"/>
        </w:rPr>
        <w:t xml:space="preserve">в </w:t>
      </w:r>
      <w:r w:rsidRPr="002E4DA2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t xml:space="preserve">соответствии </w:t>
      </w:r>
      <w:r w:rsidRPr="002E4DA2">
        <w:rPr>
          <w:rFonts w:ascii="PT Astra Serif" w:eastAsia="Calibri" w:hAnsi="PT Astra Serif" w:cs="Times New Roman"/>
          <w:b/>
          <w:sz w:val="28"/>
          <w:szCs w:val="28"/>
        </w:rPr>
        <w:t>с социальным сертификатом</w:t>
      </w:r>
      <w:bookmarkEnd w:id="0"/>
      <w:r w:rsidRPr="002E4DA2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2E4DA2">
        <w:rPr>
          <w:rFonts w:ascii="PT Astra Serif" w:eastAsia="Calibri" w:hAnsi="PT Astra Serif" w:cs="Times New Roman"/>
          <w:b/>
          <w:sz w:val="28"/>
          <w:szCs w:val="28"/>
        </w:rPr>
        <w:br/>
      </w:r>
    </w:p>
    <w:p w14:paraId="206601FB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1. 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2E4DA2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2E4DA2">
        <w:rPr>
          <w:rFonts w:ascii="PT Astra Serif" w:eastAsia="Calibri" w:hAnsi="PT Astra Serif" w:cs="Times New Roman"/>
          <w:bCs/>
          <w:sz w:val="28"/>
          <w:szCs w:val="28"/>
        </w:rPr>
        <w:t>в муниципальном</w:t>
      </w:r>
      <w:r w:rsidRPr="002E4DA2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 образовании «Сенгилеевский район» Ульяновской области</w:t>
      </w:r>
      <w:r w:rsidRPr="002E4DA2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 </w:t>
      </w:r>
      <w:r w:rsidRPr="002E4DA2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>в</w:t>
      </w:r>
      <w:r w:rsidRPr="002E4DA2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2E4DA2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соответствии  </w:t>
      </w:r>
      <w:r w:rsidRPr="002E4DA2">
        <w:rPr>
          <w:rFonts w:ascii="PT Astra Serif" w:eastAsia="Calibri" w:hAnsi="PT Astra Serif" w:cs="Times New Roman"/>
          <w:bCs/>
          <w:sz w:val="28"/>
          <w:szCs w:val="28"/>
        </w:rPr>
        <w:t xml:space="preserve">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Субъекта РФ, в соответствии с социальными сертификатами.</w:t>
      </w:r>
    </w:p>
    <w:p w14:paraId="0466B78E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2. Уполномоченным органом, утверждающим муниципальный социальный заказ на оказание муниципальной услуги и обеспечивающим его исполнение, является муниципальное учреждение «Управление образования Администрации муниципального образования «Сенгилеевский район» Ульяновской области (далее – уполномоченный орган).</w:t>
      </w:r>
    </w:p>
    <w:p w14:paraId="739C6CFE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3. Исполнителем муниципальной услуги является организация, осуществляющая образовательную деятельность или индивидуальный предприниматель,</w:t>
      </w:r>
      <w:r w:rsidRPr="002E4DA2">
        <w:rPr>
          <w:rFonts w:ascii="PT Astra Serif" w:hAnsi="PT Astra Serif" w:cs="Times New Roman"/>
          <w:kern w:val="2"/>
          <w:sz w:val="24"/>
          <w:szCs w:val="24"/>
          <w14:ligatures w14:val="standardContextual"/>
        </w:rPr>
        <w:t xml:space="preserve"> </w:t>
      </w:r>
      <w:r w:rsidRPr="002E4DA2">
        <w:rPr>
          <w:rFonts w:ascii="PT Astra Serif" w:eastAsia="Calibri" w:hAnsi="PT Astra Serif" w:cs="Times New Roman"/>
          <w:bCs/>
          <w:sz w:val="28"/>
          <w:szCs w:val="28"/>
        </w:rPr>
        <w:t xml:space="preserve"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</w:t>
      </w:r>
      <w:r w:rsidRPr="002E4DA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Постановлением Администрации муниципального образования «Сенгилеевский район» Ульяновской области  от  05 сентября  2023 года № 588-п </w:t>
      </w:r>
      <w:r w:rsidRPr="002E4DA2">
        <w:rPr>
          <w:rFonts w:ascii="PT Astra Serif" w:eastAsiaTheme="minorHAnsi" w:hAnsi="PT Astra Serif" w:cs="Times New Roman"/>
          <w:bCs/>
          <w:sz w:val="28"/>
          <w:szCs w:val="28"/>
          <w:lang w:eastAsia="en-US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Pr="002E4DA2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t xml:space="preserve"> </w:t>
      </w:r>
      <w:r w:rsidRPr="002E4DA2">
        <w:rPr>
          <w:rFonts w:ascii="PT Astra Serif" w:eastAsia="Calibri" w:hAnsi="PT Astra Serif" w:cs="Times New Roman"/>
          <w:bCs/>
          <w:sz w:val="28"/>
          <w:szCs w:val="28"/>
        </w:rPr>
        <w:t>(далее соответственно – Исполнитель, Порядок формирования реестра исполнителей).</w:t>
      </w:r>
    </w:p>
    <w:p w14:paraId="530E4522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 xml:space="preserve">4. Потребителями муниципальной услуги являются дети в возрасте от 5 до 18 лет, проживающие на территории муниципального образования «Сенгилеевский район» Ульяновской области и имеющие право на получение </w:t>
      </w:r>
      <w:r w:rsidRPr="002E4DA2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муниципальных услуг в соответствии с социальным сертификатом (далее - Потребитель).</w:t>
      </w:r>
    </w:p>
    <w:p w14:paraId="657F02BD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5. 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 оценки качества в соответствии с Распоряжением Министерства просвещения и воспитания Ульяновской области от 12 июля 2023 года №1397-р «О проведении независимой оценки качества дополнительных общеразвивающих программ» (далее – Распоряжение НОК).</w:t>
      </w:r>
    </w:p>
    <w:p w14:paraId="5499013F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6.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0CD1C002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7.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65BFB257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8. 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0629947E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9. Значение нормативных затрат на оказание муниципальной услуги ежегодно устанавливается актом Уполномоченного органа.</w:t>
      </w:r>
    </w:p>
    <w:p w14:paraId="043253EF" w14:textId="77777777" w:rsidR="002E4DA2" w:rsidRPr="002E4DA2" w:rsidRDefault="002E4DA2" w:rsidP="002E4DA2">
      <w:pPr>
        <w:keepNext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10. Контроль за реализацией мероприятий по оказанию муниципальной услуги осуществляется Министерством в соответствии с действующим законодательством Российской Федерации.</w:t>
      </w:r>
    </w:p>
    <w:p w14:paraId="19CAA71B" w14:textId="77777777" w:rsidR="002E4DA2" w:rsidRPr="002E4DA2" w:rsidRDefault="002E4DA2" w:rsidP="002E4DA2">
      <w:pPr>
        <w:spacing w:after="0" w:line="240" w:lineRule="auto"/>
        <w:ind w:firstLine="709"/>
        <w:rPr>
          <w:rFonts w:ascii="PT Astra Serif" w:eastAsiaTheme="minorHAnsi" w:hAnsi="PT Astra Serif" w:cs="Times New Roman"/>
          <w:b/>
          <w:bCs/>
          <w:i/>
          <w:sz w:val="28"/>
          <w:szCs w:val="28"/>
          <w:vertAlign w:val="subscript"/>
          <w:lang w:eastAsia="en-US"/>
        </w:rPr>
      </w:pPr>
    </w:p>
    <w:p w14:paraId="0E7981E4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2E4DA2" w:rsidRPr="002E4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78BB74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 № 1</w:t>
      </w:r>
    </w:p>
    <w:p w14:paraId="40BC30C0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к Требованиям</w:t>
      </w:r>
    </w:p>
    <w:p w14:paraId="0EA706E7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38C07488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4A434A1D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caps/>
          <w:sz w:val="28"/>
          <w:szCs w:val="28"/>
        </w:rPr>
      </w:pPr>
      <w:r w:rsidRPr="002E4DA2">
        <w:rPr>
          <w:rFonts w:ascii="PT Astra Serif" w:eastAsia="Calibri" w:hAnsi="PT Astra Serif" w:cs="Times New Roman"/>
          <w:b/>
          <w:caps/>
          <w:sz w:val="28"/>
          <w:szCs w:val="28"/>
        </w:rPr>
        <w:t xml:space="preserve">Минимальные требования </w:t>
      </w:r>
    </w:p>
    <w:p w14:paraId="127F2A08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E4DA2">
        <w:rPr>
          <w:rFonts w:ascii="PT Astra Serif" w:eastAsia="Calibri" w:hAnsi="PT Astra Serif" w:cs="Times New Roman"/>
          <w:b/>
          <w:sz w:val="28"/>
          <w:szCs w:val="28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337C332C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E4DA2" w:rsidRPr="002E4DA2" w14:paraId="12D9B2B7" w14:textId="77777777" w:rsidTr="00A16BF4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3F6A7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A2C12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14:paraId="44A9D9D7" w14:textId="77777777" w:rsidR="002E4DA2" w:rsidRPr="002E4DA2" w:rsidRDefault="002E4DA2" w:rsidP="002E4DA2">
      <w:pPr>
        <w:spacing w:after="0" w:line="240" w:lineRule="auto"/>
        <w:rPr>
          <w:rFonts w:ascii="PT Astra Serif" w:hAnsi="PT Astra Serif" w:cs="Times New Roman"/>
          <w:b/>
          <w:bCs/>
          <w:sz w:val="2"/>
          <w:szCs w:val="2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E4DA2" w:rsidRPr="002E4DA2" w14:paraId="2D861CF2" w14:textId="77777777" w:rsidTr="00A16BF4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16F242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kern w:val="2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258B00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kern w:val="2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67005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PT Astra Serif" w:hAnsi="PT Astra Serif" w:cs="Times New Roman"/>
                <w:b/>
                <w:bCs/>
                <w:kern w:val="2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bCs/>
                <w:kern w:val="2"/>
                <w14:ligatures w14:val="standardContextual"/>
              </w:rPr>
              <w:t>3</w:t>
            </w:r>
          </w:p>
        </w:tc>
      </w:tr>
      <w:tr w:rsidR="002E4DA2" w:rsidRPr="002E4DA2" w14:paraId="69F9D1C9" w14:textId="77777777" w:rsidTr="00A16BF4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14111" w14:textId="77777777" w:rsidR="002E4DA2" w:rsidRPr="002E4DA2" w:rsidRDefault="002E4DA2" w:rsidP="002E4DA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2E4DA2" w:rsidRPr="002E4DA2" w14:paraId="574C94A7" w14:textId="77777777" w:rsidTr="00A16BF4">
        <w:trPr>
          <w:trHeight w:val="976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FF1F718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11CD9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6FDC9575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муниципальной услуги</w:t>
            </w:r>
          </w:p>
          <w:p w14:paraId="7C5EA79B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650DA1F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CCB7FE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6" w:history="1">
              <w:r w:rsidRPr="002E4DA2">
                <w:rPr>
                  <w:rFonts w:ascii="PT Astra Serif" w:hAnsi="PT Astra Serif" w:cs="Times New Roman"/>
                  <w:kern w:val="2"/>
                  <w:sz w:val="24"/>
                  <w:szCs w:val="24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26BB7839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00FFDA62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Информационное обеспечение предоставления муниципальной услуги осуществляется в соответствии со статьей 29 Закона об образовании.</w:t>
            </w:r>
          </w:p>
          <w:p w14:paraId="72699380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Муниципальная 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безопасности и (или) безвредности для человека факторов среды обитания».</w:t>
            </w:r>
          </w:p>
        </w:tc>
      </w:tr>
      <w:tr w:rsidR="002E4DA2" w:rsidRPr="002E4DA2" w14:paraId="03E51DAD" w14:textId="77777777" w:rsidTr="00A16BF4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EFB97D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BBCB1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28254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48FEBAEA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Персонал должен иметь профессиональную квалификацию, необходимый для выполнения трудовых функций уровень подготовки, соответствующий:</w:t>
            </w:r>
          </w:p>
          <w:p w14:paraId="6F557A26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3D3BE729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3E1FE457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6887AC47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37E9155B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E4DA2" w:rsidRPr="002E4DA2" w14:paraId="0D9296CB" w14:textId="77777777" w:rsidTr="00A16BF4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B0329E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kern w:val="2"/>
                <w:sz w:val="24"/>
                <w:szCs w:val="24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2E4DA2" w:rsidRPr="002E4DA2" w14:paraId="5B33B7BA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F907C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6BB5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Соответствие нормативным требованиям к разработке и 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утверждению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8EC238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Дополнительная образовательная программа должна быть составлена в соответствии с:</w:t>
            </w:r>
          </w:p>
          <w:p w14:paraId="14BD933F" w14:textId="77777777" w:rsidR="002E4DA2" w:rsidRPr="002E4DA2" w:rsidRDefault="002E4DA2" w:rsidP="002E4DA2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PT Astra Serif" w:eastAsiaTheme="majorEastAsia" w:hAnsi="PT Astra Serif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sz w:val="24"/>
                <w:szCs w:val="24"/>
                <w14:ligatures w14:val="standardContextual"/>
              </w:rPr>
              <w:lastRenderedPageBreak/>
              <w:t xml:space="preserve">      - </w:t>
            </w:r>
            <w:r w:rsidRPr="002E4DA2">
              <w:rPr>
                <w:rFonts w:ascii="PT Astra Serif" w:eastAsiaTheme="majorEastAsia" w:hAnsi="PT Astra Serif" w:cs="Times New Roman"/>
                <w:sz w:val="24"/>
                <w:szCs w:val="24"/>
                <w:lang w:eastAsia="en-US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47C69481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283BF0AE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 -</w:t>
            </w: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1E8D188E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14:paraId="25F3D528" w14:textId="77777777" w:rsidR="002E4DA2" w:rsidRPr="002E4DA2" w:rsidRDefault="002E4DA2" w:rsidP="002E4DA2">
            <w:pPr>
              <w:keepNext/>
              <w:keepLines/>
              <w:spacing w:after="0" w:line="240" w:lineRule="auto"/>
              <w:ind w:firstLine="363"/>
              <w:jc w:val="both"/>
              <w:outlineLvl w:val="0"/>
              <w:rPr>
                <w:rFonts w:ascii="PT Astra Serif" w:eastAsiaTheme="majorEastAsia" w:hAnsi="PT Astra Serif" w:cs="Times New Roman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sz w:val="24"/>
                <w:szCs w:val="24"/>
                <w14:ligatures w14:val="standardContextual"/>
              </w:rPr>
              <w:t>-</w:t>
            </w:r>
            <w:r w:rsidRPr="002E4DA2">
              <w:rPr>
                <w:rFonts w:ascii="PT Astra Serif" w:eastAsiaTheme="majorEastAsia" w:hAnsi="PT Astra Serif" w:cs="Times New Roman"/>
                <w:sz w:val="24"/>
                <w:szCs w:val="24"/>
                <w:lang w:eastAsia="en-US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164523A5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757528AF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2AA6C72C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E4DA2" w:rsidRPr="002E4DA2" w14:paraId="7A2CF2B4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1C451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474FA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5875EF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  <w:t>Цели и задачи ДОП должны соответствовать требованиям статьи 75 Закона об образовании.</w:t>
            </w:r>
          </w:p>
          <w:p w14:paraId="6FB126DE" w14:textId="77777777" w:rsidR="002E4DA2" w:rsidRPr="002E4DA2" w:rsidRDefault="002E4DA2" w:rsidP="002E4DA2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</w:t>
            </w:r>
            <w:proofErr w:type="gramStart"/>
            <w:r w:rsidRPr="002E4DA2"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  <w:t>дошкольного  образования</w:t>
            </w:r>
            <w:proofErr w:type="gramEnd"/>
            <w:r w:rsidRPr="002E4DA2"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  <w:t xml:space="preserve">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2E4DA2" w:rsidRPr="002E4DA2" w14:paraId="7D9F7220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7DE80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CF98C3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43687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В соответствии со п.9. ст.2 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134C89AD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1. Титульный лист</w:t>
            </w:r>
          </w:p>
          <w:p w14:paraId="7A4A60E6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2. Комплекс основных характеристик ДОП</w:t>
            </w:r>
          </w:p>
          <w:p w14:paraId="12745A75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3. Комплекс организационно-педагогических условий ДОП.</w:t>
            </w:r>
          </w:p>
          <w:p w14:paraId="14BEFA92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E4DA2" w:rsidRPr="002E4DA2" w14:paraId="1E55DED8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EA3394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C99BA4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64CB7B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 титульном листе обязательно указываются:</w:t>
            </w:r>
          </w:p>
          <w:p w14:paraId="35DEEC8D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44259FE9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gramStart"/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организации</w:t>
            </w:r>
            <w:proofErr w:type="gramEnd"/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осуществляющей образовательную 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деятельность; </w:t>
            </w:r>
          </w:p>
          <w:p w14:paraId="727488D4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7BB22F63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название ДОП; </w:t>
            </w:r>
          </w:p>
          <w:p w14:paraId="7DD0EB43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направленность; </w:t>
            </w:r>
          </w:p>
          <w:p w14:paraId="52DE64BF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38CBD385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срок реализации; количество часов по ДОП; </w:t>
            </w:r>
          </w:p>
          <w:p w14:paraId="7E7E70E0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ФИО и должность автора (</w:t>
            </w:r>
            <w:proofErr w:type="spellStart"/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ов</w:t>
            </w:r>
            <w:proofErr w:type="spellEnd"/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) ДОП; </w:t>
            </w:r>
          </w:p>
          <w:p w14:paraId="53BD403A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2E4DA2" w:rsidRPr="002E4DA2" w14:paraId="4D7CE07F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52BBEA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FFE9BC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B69017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5C27E12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2E4DA2">
              <w:rPr>
                <w:rFonts w:ascii="PT Astra Serif" w:eastAsiaTheme="minorHAnsi" w:hAnsi="PT Astra Serif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пояснительная записка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2E4DA2">
              <w:rPr>
                <w:rFonts w:ascii="PT Astra Serif" w:eastAsiaTheme="minorHAnsi" w:hAnsi="PT Astra Serif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; 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E4DA2">
              <w:rPr>
                <w:rFonts w:ascii="PT Astra Serif" w:eastAsiaTheme="minorHAnsi" w:hAnsi="PT Astra Serif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возраст,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416B6FD3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уровень ДОП </w:t>
            </w: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51ADD216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2E4DA2">
              <w:rPr>
                <w:rFonts w:ascii="PT Astra Serif" w:eastAsiaTheme="minorHAnsi" w:hAnsi="PT Astra Serif"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</w:t>
            </w:r>
            <w:r w:rsidRPr="002E4DA2"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  <w:t>еречень видов занятий</w:t>
            </w:r>
            <w:bookmarkEnd w:id="1"/>
            <w:r w:rsidRPr="002E4DA2">
              <w:rPr>
                <w:rFonts w:ascii="PT Astra Serif" w:eastAsiaTheme="minorHAnsi" w:hAnsi="PT Astra Serif" w:cs="Times New Roman"/>
                <w:bCs/>
                <w:sz w:val="24"/>
                <w:szCs w:val="24"/>
                <w:lang w:eastAsia="en-US"/>
              </w:rPr>
              <w:t>; перечень форм подведения итогов реализации дополнительной общеразвивающей программы.</w:t>
            </w:r>
          </w:p>
          <w:p w14:paraId="14616711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2E4DA2">
              <w:rPr>
                <w:rFonts w:ascii="PT Astra Serif" w:eastAsiaTheme="minorHAnsi" w:hAnsi="PT Astra Serif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цели, задачи и планируемые результаты ДОП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; </w:t>
            </w:r>
          </w:p>
          <w:p w14:paraId="77BBBF2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содержание ДОП: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78A236E7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02212B0A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Содержание учебного плана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Pr="002E4DA2"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  <w:t>для каждого периода (года) обучения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</w:tc>
      </w:tr>
      <w:tr w:rsidR="002E4DA2" w:rsidRPr="002E4DA2" w14:paraId="4147D37C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ABD3504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A7B2D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5D560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44579ED7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Задачи: </w:t>
            </w:r>
          </w:p>
          <w:p w14:paraId="70756536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  <w:t>- образовательные,</w:t>
            </w:r>
          </w:p>
          <w:p w14:paraId="62B8B0EA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  <w:t>- развивающие,</w:t>
            </w:r>
          </w:p>
          <w:p w14:paraId="6267FB37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- воспитательные.</w:t>
            </w:r>
          </w:p>
          <w:p w14:paraId="4A1D50A3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E4DA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Предполагаемые результаты:</w:t>
            </w:r>
          </w:p>
          <w:p w14:paraId="61AB4704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 xml:space="preserve">− личностные планируемые результаты, </w:t>
            </w:r>
          </w:p>
          <w:p w14:paraId="02D06170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 xml:space="preserve">− метапредметные планируемые результаты, </w:t>
            </w:r>
          </w:p>
          <w:p w14:paraId="0F36B844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>− предметные образовательные результаты.</w:t>
            </w:r>
          </w:p>
        </w:tc>
      </w:tr>
      <w:tr w:rsidR="002E4DA2" w:rsidRPr="002E4DA2" w14:paraId="7CD443C2" w14:textId="77777777" w:rsidTr="00A16BF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891129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45F49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84412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37482422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календарный учебный график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659EEBAA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формы аттестации (контроля)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1CC3C542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2E4DA2">
              <w:rPr>
                <w:rFonts w:ascii="PT Astra Serif" w:hAnsi="PT Astra Serif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оценочные материалы- </w:t>
            </w:r>
            <w:r w:rsidRPr="002E4DA2"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1D73290E" w14:textId="77777777" w:rsidR="002E4DA2" w:rsidRPr="002E4DA2" w:rsidRDefault="002E4DA2" w:rsidP="002E4DA2">
            <w:pPr>
              <w:spacing w:after="0" w:line="240" w:lineRule="auto"/>
              <w:ind w:left="-107" w:firstLine="470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2E4DA2">
              <w:rPr>
                <w:rFonts w:ascii="PT Astra Serif" w:eastAsiaTheme="minorHAnsi" w:hAnsi="PT Astra Serif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методическое обеспечение ДОП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– </w:t>
            </w:r>
            <w:r w:rsidRPr="002E4DA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65FABAC7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2E4DA2">
              <w:rPr>
                <w:rFonts w:ascii="PT Astra Serif" w:eastAsiaTheme="minorHAnsi" w:hAnsi="PT Astra Serif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материально-техническое обеспечение ДОП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5EDC4313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2E4DA2">
              <w:rPr>
                <w:rFonts w:ascii="PT Astra Serif" w:eastAsiaTheme="minorHAnsi" w:hAnsi="PT Astra Serif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список литературы, содержащий </w:t>
            </w:r>
            <w:r w:rsidRPr="002E4DA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числе:</w:t>
            </w:r>
          </w:p>
          <w:p w14:paraId="4306277D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 xml:space="preserve">− нормативные правовые акты, </w:t>
            </w:r>
          </w:p>
          <w:p w14:paraId="5E25BC5A" w14:textId="77777777" w:rsidR="002E4DA2" w:rsidRPr="002E4DA2" w:rsidRDefault="002E4DA2" w:rsidP="002E4DA2">
            <w:pPr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 xml:space="preserve">− основную и дополнительную литературу, </w:t>
            </w:r>
          </w:p>
          <w:p w14:paraId="68B7AFA5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>− список литературы для обучающихся, родителей, в том числе интернет-источники.</w:t>
            </w:r>
          </w:p>
          <w:p w14:paraId="69DA3CCF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E4DA2">
              <w:rPr>
                <w:rFonts w:ascii="PT Astra Serif" w:eastAsia="Gungsuh" w:hAnsi="PT Astra Serif" w:cs="Times New Roman"/>
                <w:sz w:val="24"/>
                <w:szCs w:val="24"/>
                <w:lang w:eastAsia="en-US"/>
              </w:rPr>
              <w:t>Список оформляется по ГОСТ (Р 7.0.11-2011 либо Р 7.0.100-2018)</w:t>
            </w:r>
            <w:r w:rsidRPr="002E4DA2">
              <w:rPr>
                <w:rFonts w:ascii="PT Astra Serif" w:eastAsiaTheme="minorHAnsi" w:hAnsi="PT Astra Serif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14:paraId="745BB24E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PT Astra Serif" w:hAnsi="PT Astra Serif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6385931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eastAsiaTheme="minorHAnsi" w:hAnsi="PT Astra Serif" w:cs="Times New Roman"/>
          <w:lang w:eastAsia="en-US"/>
        </w:rPr>
      </w:pPr>
    </w:p>
    <w:p w14:paraId="6AC2A668" w14:textId="77777777" w:rsidR="002E4DA2" w:rsidRPr="002E4DA2" w:rsidRDefault="002E4DA2" w:rsidP="002E4DA2">
      <w:pPr>
        <w:tabs>
          <w:tab w:val="left" w:pos="2055"/>
        </w:tabs>
        <w:spacing w:after="0" w:line="240" w:lineRule="auto"/>
        <w:rPr>
          <w:rFonts w:ascii="PT Astra Serif" w:eastAsiaTheme="minorHAnsi" w:hAnsi="PT Astra Serif" w:cs="Times New Roman"/>
          <w:lang w:eastAsia="en-US"/>
        </w:rPr>
        <w:sectPr w:rsidR="002E4DA2" w:rsidRPr="002E4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76DC7E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 № 2</w:t>
      </w:r>
    </w:p>
    <w:p w14:paraId="12F59928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E4DA2">
        <w:rPr>
          <w:rFonts w:ascii="PT Astra Serif" w:eastAsia="Calibri" w:hAnsi="PT Astra Serif" w:cs="Times New Roman"/>
          <w:bCs/>
          <w:sz w:val="28"/>
          <w:szCs w:val="28"/>
        </w:rPr>
        <w:t>к Требованиям</w:t>
      </w:r>
    </w:p>
    <w:p w14:paraId="73013CAA" w14:textId="77777777" w:rsidR="002E4DA2" w:rsidRPr="002E4DA2" w:rsidRDefault="002E4DA2" w:rsidP="002E4DA2">
      <w:pPr>
        <w:keepNext/>
        <w:spacing w:after="0" w:line="240" w:lineRule="auto"/>
        <w:ind w:left="6804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1813B40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E4DA2">
        <w:rPr>
          <w:rFonts w:ascii="PT Astra Serif" w:eastAsia="Calibri" w:hAnsi="PT Astra Serif" w:cs="Times New Roman"/>
          <w:b/>
          <w:caps/>
          <w:sz w:val="28"/>
          <w:szCs w:val="28"/>
        </w:rPr>
        <w:t>Критерии</w:t>
      </w:r>
      <w:r w:rsidRPr="002E4DA2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14:paraId="25CAB289" w14:textId="77777777" w:rsidR="002E4DA2" w:rsidRPr="002E4DA2" w:rsidRDefault="002E4DA2" w:rsidP="002E4DA2">
      <w:pPr>
        <w:keepNext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E4DA2">
        <w:rPr>
          <w:rFonts w:ascii="PT Astra Serif" w:eastAsia="Calibri" w:hAnsi="PT Astra Serif" w:cs="Times New Roman"/>
          <w:b/>
          <w:sz w:val="28"/>
          <w:szCs w:val="28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6C2FF2A8" w14:textId="77777777" w:rsidR="002E4DA2" w:rsidRPr="002E4DA2" w:rsidRDefault="002E4DA2" w:rsidP="002E4DA2">
      <w:pPr>
        <w:keepNext/>
        <w:spacing w:after="0" w:line="240" w:lineRule="auto"/>
        <w:ind w:left="6804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E4DA2" w:rsidRPr="002E4DA2" w14:paraId="1381E200" w14:textId="77777777" w:rsidTr="00A16BF4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C6A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hAnsi="PT Astra Serif" w:cstheme="minorBidi"/>
                <w:bCs/>
                <w:w w:val="99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bCs/>
                <w:w w:val="99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8D9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b/>
                <w:w w:val="99"/>
                <w:sz w:val="24"/>
                <w:szCs w:val="24"/>
                <w:bdr w:val="none" w:sz="0" w:space="0" w:color="auto" w:frame="1"/>
              </w:rPr>
              <w:t xml:space="preserve">Критерии оценки </w:t>
            </w:r>
          </w:p>
        </w:tc>
      </w:tr>
      <w:tr w:rsidR="002E4DA2" w:rsidRPr="002E4DA2" w14:paraId="0AA1CE91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112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CC9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1. Титульный лист</w:t>
            </w:r>
          </w:p>
        </w:tc>
      </w:tr>
      <w:tr w:rsidR="002E4DA2" w:rsidRPr="002E4DA2" w14:paraId="25EBF2F1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874" w14:textId="77777777" w:rsidR="002E4DA2" w:rsidRPr="002E4DA2" w:rsidRDefault="002E4DA2" w:rsidP="002E4DA2">
            <w:pPr>
              <w:numPr>
                <w:ilvl w:val="1"/>
                <w:numId w:val="3"/>
              </w:numPr>
              <w:spacing w:after="0" w:line="240" w:lineRule="auto"/>
              <w:ind w:left="-81"/>
              <w:contextualSpacing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ACC" w14:textId="77777777" w:rsidR="002E4DA2" w:rsidRPr="002E4DA2" w:rsidRDefault="002E4DA2" w:rsidP="002E4DA2">
            <w:pPr>
              <w:spacing w:after="160" w:line="240" w:lineRule="auto"/>
              <w:ind w:left="-81"/>
              <w:contextualSpacing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Соответствие оформления требованиям к программам (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ов</w:t>
            </w:r>
            <w:proofErr w:type="spellEnd"/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)-составителя(ей) программы; место (населенный пункт) реализации программы.</w:t>
            </w:r>
          </w:p>
        </w:tc>
      </w:tr>
      <w:tr w:rsidR="002E4DA2" w:rsidRPr="002E4DA2" w14:paraId="395CD4F6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F2E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0A6D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2.Пояснительная записка</w:t>
            </w:r>
          </w:p>
        </w:tc>
      </w:tr>
      <w:tr w:rsidR="002E4DA2" w:rsidRPr="002E4DA2" w14:paraId="72EF8C51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148" w14:textId="77777777" w:rsidR="002E4DA2" w:rsidRPr="002E4DA2" w:rsidRDefault="002E4DA2" w:rsidP="002E4DA2">
            <w:pPr>
              <w:widowControl w:val="0"/>
              <w:spacing w:after="160" w:line="240" w:lineRule="auto"/>
              <w:ind w:left="-81" w:right="117"/>
              <w:jc w:val="both"/>
              <w:rPr>
                <w:rFonts w:ascii="PT Astra Serif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b/>
                <w:sz w:val="24"/>
                <w:szCs w:val="24"/>
                <w:bdr w:val="none" w:sz="0" w:space="0" w:color="auto" w:frame="1"/>
              </w:rPr>
              <w:t>2.1</w:t>
            </w: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EAD" w14:textId="77777777" w:rsidR="002E4DA2" w:rsidRPr="002E4DA2" w:rsidRDefault="002E4DA2" w:rsidP="002E4DA2">
            <w:pPr>
              <w:widowControl w:val="0"/>
              <w:spacing w:after="160" w:line="240" w:lineRule="auto"/>
              <w:ind w:left="-81" w:right="117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E4DA2" w:rsidRPr="002E4DA2" w14:paraId="58138342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57A" w14:textId="77777777" w:rsidR="002E4DA2" w:rsidRPr="002E4DA2" w:rsidRDefault="002E4DA2" w:rsidP="002E4DA2">
            <w:pPr>
              <w:widowControl w:val="0"/>
              <w:spacing w:after="160" w:line="240" w:lineRule="auto"/>
              <w:ind w:left="-81" w:right="117"/>
              <w:jc w:val="both"/>
              <w:rPr>
                <w:rFonts w:ascii="PT Astra Serif" w:eastAsiaTheme="minorHAnsi" w:hAnsi="PT Astra Serif" w:cstheme="minorBidi"/>
                <w:b/>
                <w:bCs/>
                <w:sz w:val="24"/>
                <w:szCs w:val="24"/>
                <w:lang w:eastAsia="en-US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bCs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272" w14:textId="77777777" w:rsidR="002E4DA2" w:rsidRPr="002E4DA2" w:rsidRDefault="002E4DA2" w:rsidP="002E4DA2">
            <w:pPr>
              <w:widowControl w:val="0"/>
              <w:spacing w:after="160" w:line="240" w:lineRule="auto"/>
              <w:ind w:left="-81" w:right="117"/>
              <w:jc w:val="both"/>
              <w:rPr>
                <w:rFonts w:ascii="PT Astra Serif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E4DA2" w:rsidRPr="002E4DA2" w14:paraId="32E0161E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EA1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b/>
                <w:sz w:val="24"/>
                <w:szCs w:val="24"/>
                <w:bdr w:val="none" w:sz="0" w:space="0" w:color="auto" w:frame="1"/>
              </w:rPr>
              <w:t>2.3</w:t>
            </w: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6A9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7683A1B8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E4DA2" w:rsidRPr="002E4DA2" w14:paraId="36204C42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38E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bCs/>
                <w:iCs/>
                <w:sz w:val="24"/>
                <w:szCs w:val="24"/>
                <w:bdr w:val="none" w:sz="0" w:space="0" w:color="auto" w:frame="1"/>
              </w:rPr>
              <w:t>2.4</w:t>
            </w:r>
            <w:r w:rsidRPr="002E4DA2">
              <w:rPr>
                <w:rFonts w:ascii="PT Astra Serif" w:eastAsiaTheme="minorHAnsi" w:hAnsi="PT Astra Serif" w:cstheme="minorBidi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370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Cs/>
                <w:iCs/>
                <w:sz w:val="24"/>
                <w:szCs w:val="24"/>
                <w:bdr w:val="none" w:sz="0" w:space="0" w:color="auto" w:frame="1"/>
              </w:rPr>
              <w:t xml:space="preserve">Соответствие планируемых результатов (предметных, метапредметных, личностных) 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целям и задачам программы.</w:t>
            </w:r>
          </w:p>
        </w:tc>
      </w:tr>
      <w:tr w:rsidR="002E4DA2" w:rsidRPr="002E4DA2" w14:paraId="088B25EF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163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bCs/>
                <w:iCs/>
                <w:sz w:val="24"/>
                <w:szCs w:val="24"/>
                <w:bdr w:val="none" w:sz="0" w:space="0" w:color="auto" w:frame="1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B89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E4DA2" w:rsidRPr="002E4DA2" w14:paraId="4D1CFD0B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929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B199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 xml:space="preserve">3.Учебный план </w:t>
            </w:r>
          </w:p>
        </w:tc>
      </w:tr>
      <w:tr w:rsidR="002E4DA2" w:rsidRPr="002E4DA2" w14:paraId="6FB54285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D41" w14:textId="77777777" w:rsidR="002E4DA2" w:rsidRPr="002E4DA2" w:rsidRDefault="002E4DA2" w:rsidP="002E4DA2">
            <w:pPr>
              <w:autoSpaceDE w:val="0"/>
              <w:autoSpaceDN w:val="0"/>
              <w:adjustRightInd w:val="0"/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43C9" w14:textId="77777777" w:rsidR="002E4DA2" w:rsidRPr="002E4DA2" w:rsidRDefault="002E4DA2" w:rsidP="002E4DA2">
            <w:pPr>
              <w:autoSpaceDE w:val="0"/>
              <w:autoSpaceDN w:val="0"/>
              <w:adjustRightInd w:val="0"/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Cs/>
                <w:sz w:val="24"/>
                <w:szCs w:val="24"/>
                <w:bdr w:val="none" w:sz="0" w:space="0" w:color="auto" w:frame="1"/>
              </w:rPr>
              <w:t>Н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lastRenderedPageBreak/>
              <w:t>(модулей), тем, практики, иных видов учебной деятельности и формы аттестации обучающихся).</w:t>
            </w:r>
          </w:p>
        </w:tc>
      </w:tr>
      <w:tr w:rsidR="002E4DA2" w:rsidRPr="002E4DA2" w14:paraId="025FE6CF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39E" w14:textId="77777777" w:rsidR="002E4DA2" w:rsidRPr="002E4DA2" w:rsidRDefault="002E4DA2" w:rsidP="002E4DA2">
            <w:pPr>
              <w:autoSpaceDE w:val="0"/>
              <w:autoSpaceDN w:val="0"/>
              <w:adjustRightInd w:val="0"/>
              <w:spacing w:after="160" w:line="240" w:lineRule="auto"/>
              <w:ind w:left="-81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lastRenderedPageBreak/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0C13" w14:textId="77777777" w:rsidR="002E4DA2" w:rsidRPr="002E4DA2" w:rsidRDefault="002E4DA2" w:rsidP="002E4DA2">
            <w:pPr>
              <w:autoSpaceDE w:val="0"/>
              <w:autoSpaceDN w:val="0"/>
              <w:adjustRightInd w:val="0"/>
              <w:spacing w:after="160" w:line="240" w:lineRule="auto"/>
              <w:ind w:left="-81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Логичность последовательности, системность разделов и тем.</w:t>
            </w:r>
          </w:p>
        </w:tc>
      </w:tr>
      <w:tr w:rsidR="002E4DA2" w:rsidRPr="002E4DA2" w14:paraId="1E49103E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5A1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EE55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4.Содержание учебного плана</w:t>
            </w:r>
          </w:p>
        </w:tc>
      </w:tr>
      <w:tr w:rsidR="002E4DA2" w:rsidRPr="002E4DA2" w14:paraId="3634F4BA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A6F" w14:textId="77777777" w:rsidR="002E4DA2" w:rsidRPr="002E4DA2" w:rsidRDefault="002E4DA2" w:rsidP="002E4DA2">
            <w:pPr>
              <w:widowControl w:val="0"/>
              <w:spacing w:after="160" w:line="240" w:lineRule="auto"/>
              <w:ind w:left="-81" w:right="93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234" w14:textId="77777777" w:rsidR="002E4DA2" w:rsidRPr="002E4DA2" w:rsidRDefault="002E4DA2" w:rsidP="002E4DA2">
            <w:pPr>
              <w:widowControl w:val="0"/>
              <w:spacing w:after="160" w:line="240" w:lineRule="auto"/>
              <w:ind w:left="-81" w:right="93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E4DA2" w:rsidRPr="002E4DA2" w14:paraId="4FB20D79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343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4.2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23F4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соблюдён баланс между заявленной трудоёмкостью темы и объемом представляемого содержания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).</w:t>
            </w:r>
          </w:p>
        </w:tc>
      </w:tr>
      <w:tr w:rsidR="002E4DA2" w:rsidRPr="002E4DA2" w14:paraId="7A995503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FE2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34A4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5.Условия реализации программы</w:t>
            </w:r>
          </w:p>
        </w:tc>
      </w:tr>
      <w:tr w:rsidR="002E4DA2" w:rsidRPr="002E4DA2" w14:paraId="404D342A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155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53C9" w14:textId="77777777" w:rsidR="002E4DA2" w:rsidRPr="002E4DA2" w:rsidRDefault="002E4DA2" w:rsidP="002E4DA2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Наличие к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E4DA2" w:rsidRPr="002E4DA2" w14:paraId="68AFA1D8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98B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5.2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14FB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E4DA2" w:rsidRPr="002E4DA2" w14:paraId="45814E96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24E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5.3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753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 xml:space="preserve">Наличие информационно-методических условий реализации программы, обеспечивающих 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достижение планируемых результатов</w:t>
            </w: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E4DA2" w:rsidRPr="002E4DA2" w14:paraId="13D2F7F0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C9E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5.4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0FE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 xml:space="preserve">Наличие </w:t>
            </w:r>
            <w:r w:rsidRPr="002E4DA2">
              <w:rPr>
                <w:rFonts w:ascii="PT Astra Serif" w:eastAsiaTheme="minorHAnsi" w:hAnsi="PT Astra Serif" w:cstheme="minorBidi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оценочных материалов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E4DA2" w:rsidRPr="002E4DA2" w14:paraId="248440C3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8D0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B6FF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6.Список литературы</w:t>
            </w:r>
          </w:p>
        </w:tc>
      </w:tr>
      <w:tr w:rsidR="002E4DA2" w:rsidRPr="002E4DA2" w14:paraId="7C5BE575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071" w14:textId="77777777" w:rsidR="002E4DA2" w:rsidRPr="002E4DA2" w:rsidRDefault="002E4DA2" w:rsidP="002E4DA2">
            <w:pPr>
              <w:spacing w:after="160" w:line="240" w:lineRule="auto"/>
              <w:ind w:left="-81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9FC" w14:textId="77777777" w:rsidR="002E4DA2" w:rsidRPr="002E4DA2" w:rsidRDefault="002E4DA2" w:rsidP="002E4DA2">
            <w:pPr>
              <w:spacing w:after="160" w:line="240" w:lineRule="auto"/>
              <w:ind w:left="-81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 xml:space="preserve">Наличие списков литературы для педагога, учащихся (родителей). </w:t>
            </w:r>
          </w:p>
        </w:tc>
      </w:tr>
      <w:tr w:rsidR="002E4DA2" w:rsidRPr="002E4DA2" w14:paraId="37BD2132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7CC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2555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 xml:space="preserve">Соответствие оформления списков 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>использованной и рекомендуемой литературы правилам составления библиографического списка</w:t>
            </w:r>
            <w:r w:rsidRPr="002E4DA2">
              <w:rPr>
                <w:rFonts w:ascii="PT Astra Serif" w:eastAsia="Gungsuh" w:hAnsi="PT Astra Serif" w:cstheme="minorBidi"/>
                <w:sz w:val="24"/>
                <w:szCs w:val="24"/>
                <w:lang w:eastAsia="en-US"/>
              </w:rPr>
              <w:t xml:space="preserve"> (ГОСТ Р 7.0.11-2011 либо ГОСТ Р 7.0.100-2018)</w:t>
            </w:r>
            <w:r w:rsidRPr="002E4DA2">
              <w:rPr>
                <w:rFonts w:ascii="PT Astra Serif" w:eastAsiaTheme="minorHAnsi" w:hAnsi="PT Astra Serif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</w:tr>
      <w:tr w:rsidR="002E4DA2" w:rsidRPr="002E4DA2" w14:paraId="78E8A735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38B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72A" w14:textId="77777777" w:rsidR="002E4DA2" w:rsidRPr="002E4DA2" w:rsidRDefault="002E4DA2" w:rsidP="002E4DA2">
            <w:pPr>
              <w:spacing w:after="160" w:line="240" w:lineRule="auto"/>
              <w:jc w:val="center"/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sz w:val="24"/>
                <w:szCs w:val="24"/>
                <w:bdr w:val="none" w:sz="0" w:space="0" w:color="auto" w:frame="1"/>
              </w:rPr>
              <w:t>7. Оформление программы</w:t>
            </w:r>
          </w:p>
        </w:tc>
      </w:tr>
      <w:tr w:rsidR="002E4DA2" w:rsidRPr="002E4DA2" w14:paraId="3F4B17B2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D53" w14:textId="77777777" w:rsidR="002E4DA2" w:rsidRPr="002E4DA2" w:rsidRDefault="002E4DA2" w:rsidP="002E4DA2">
            <w:pPr>
              <w:keepNext/>
              <w:keepLines/>
              <w:shd w:val="clear" w:color="auto" w:fill="FFFFFF"/>
              <w:spacing w:before="161" w:after="0" w:line="240" w:lineRule="auto"/>
              <w:jc w:val="both"/>
              <w:outlineLvl w:val="0"/>
              <w:rPr>
                <w:rFonts w:ascii="PT Astra Serif" w:eastAsiaTheme="majorEastAsia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4DA2">
              <w:rPr>
                <w:rFonts w:ascii="PT Astra Serif" w:eastAsiaTheme="majorEastAsia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6060" w14:textId="77777777" w:rsidR="002E4DA2" w:rsidRPr="002E4DA2" w:rsidRDefault="002E4DA2" w:rsidP="002E4DA2">
            <w:pPr>
              <w:keepNext/>
              <w:keepLines/>
              <w:shd w:val="clear" w:color="auto" w:fill="FFFFFF"/>
              <w:spacing w:before="161" w:after="0" w:line="240" w:lineRule="auto"/>
              <w:outlineLvl w:val="0"/>
              <w:rPr>
                <w:rFonts w:ascii="PT Astra Serif" w:eastAsiaTheme="majorEastAsia" w:hAnsi="PT Astra Serif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4DA2">
              <w:rPr>
                <w:rFonts w:ascii="PT Astra Serif" w:eastAsiaTheme="majorEastAsia" w:hAnsi="PT Astra Serif" w:cs="Times New Roman"/>
                <w:sz w:val="24"/>
                <w:szCs w:val="24"/>
                <w:bdr w:val="none" w:sz="0" w:space="0" w:color="auto" w:frame="1"/>
                <w:lang w:eastAsia="en-US"/>
              </w:rPr>
              <w:t>Соответствие оформления программы общим требованиям к созданию документов (</w:t>
            </w:r>
            <w:r w:rsidRPr="002E4DA2">
              <w:rPr>
                <w:rFonts w:ascii="PT Astra Serif" w:eastAsiaTheme="majorEastAsia" w:hAnsi="PT Astra Serif" w:cs="Times New Roman"/>
                <w:sz w:val="24"/>
                <w:szCs w:val="24"/>
                <w:lang w:eastAsia="en-US"/>
              </w:rPr>
              <w:t>ГОСТ Р 7.0.97-2016)</w:t>
            </w:r>
          </w:p>
        </w:tc>
      </w:tr>
      <w:tr w:rsidR="002E4DA2" w:rsidRPr="002E4DA2" w14:paraId="22EFC597" w14:textId="77777777" w:rsidTr="00A16BF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2D1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eastAsiaTheme="minorHAnsi" w:hAnsi="PT Astra Serif" w:cstheme="minorBidi"/>
                <w:b/>
                <w:bCs/>
                <w:sz w:val="24"/>
                <w:szCs w:val="24"/>
                <w:bdr w:val="none" w:sz="0" w:space="0" w:color="auto" w:frame="1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7CE3" w14:textId="77777777" w:rsidR="002E4DA2" w:rsidRPr="002E4DA2" w:rsidRDefault="002E4DA2" w:rsidP="002E4DA2">
            <w:pPr>
              <w:spacing w:after="160" w:line="240" w:lineRule="auto"/>
              <w:ind w:left="-81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</w:pPr>
            <w:r w:rsidRPr="002E4DA2">
              <w:rPr>
                <w:rFonts w:ascii="PT Astra Serif" w:hAnsi="PT Astra Serif" w:cstheme="minorBidi"/>
                <w:sz w:val="24"/>
                <w:szCs w:val="24"/>
                <w:bdr w:val="none" w:sz="0" w:space="0" w:color="auto" w:frame="1"/>
              </w:rPr>
              <w:t>Соответствие и обоснованность используемой терминологии,</w:t>
            </w:r>
            <w:r w:rsidRPr="002E4DA2">
              <w:rPr>
                <w:rFonts w:ascii="PT Astra Serif" w:eastAsiaTheme="minorHAnsi" w:hAnsi="PT Astra Serif" w:cstheme="minorBidi"/>
                <w:sz w:val="24"/>
                <w:szCs w:val="24"/>
                <w:bdr w:val="none" w:sz="0" w:space="0" w:color="auto" w:frame="1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637C0360" w14:textId="77777777" w:rsidR="002E4DA2" w:rsidRPr="002E4DA2" w:rsidRDefault="002E4DA2" w:rsidP="002E4DA2">
      <w:pPr>
        <w:tabs>
          <w:tab w:val="left" w:pos="2055"/>
        </w:tabs>
        <w:spacing w:after="0" w:line="240" w:lineRule="auto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14:paraId="0CA3BBB5" w14:textId="77777777" w:rsidR="00FC2AF5" w:rsidRDefault="00FC2AF5"/>
    <w:sectPr w:rsidR="00FC2AF5" w:rsidSect="009B4B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3490</Words>
  <Characters>19899</Characters>
  <Application>Microsoft Office Word</Application>
  <DocSecurity>0</DocSecurity>
  <Lines>165</Lines>
  <Paragraphs>46</Paragraphs>
  <ScaleCrop>false</ScaleCrop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2023-10-03T07:34:00Z</dcterms:created>
  <dcterms:modified xsi:type="dcterms:W3CDTF">2023-10-03T07:38:00Z</dcterms:modified>
</cp:coreProperties>
</file>